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z w:val="27"/>
          <w:szCs w:val="27"/>
        </w:rPr>
      </w:pPr>
      <w:r>
        <w:rPr>
          <w:rFonts w:hint="eastAsia" w:ascii="仿宋_GB2312" w:hAnsi="仿宋_GB2312" w:eastAsia="仿宋_GB2312" w:cs="仿宋_GB2312"/>
          <w:bCs/>
          <w:sz w:val="27"/>
          <w:szCs w:val="27"/>
        </w:rPr>
        <w:t>附件2：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z w:val="27"/>
          <w:szCs w:val="27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  <w:t>咸宁市人才落户实施细则</w:t>
      </w:r>
    </w:p>
    <w:p>
      <w:pPr>
        <w:pStyle w:val="2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27"/>
          <w:szCs w:val="27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sz w:val="27"/>
          <w:szCs w:val="27"/>
        </w:rPr>
        <w:t>第一条</w:t>
      </w:r>
      <w:r>
        <w:rPr>
          <w:rFonts w:hint="eastAsia" w:ascii="仿宋_GB2312" w:hAnsi="仿宋_GB2312" w:eastAsia="仿宋_GB2312" w:cs="仿宋_GB2312"/>
          <w:b/>
          <w:bCs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7"/>
          <w:szCs w:val="27"/>
        </w:rPr>
        <w:t>根据《咸宁市“人才绿卡”制度实施办法</w:t>
      </w:r>
      <w:r>
        <w:rPr>
          <w:rFonts w:hint="eastAsia" w:ascii="仿宋_GB2312" w:hAnsi="仿宋_GB2312" w:eastAsia="仿宋_GB2312" w:cs="仿宋_GB2312"/>
          <w:sz w:val="27"/>
          <w:szCs w:val="27"/>
          <w:lang w:eastAsia="zh-CN"/>
        </w:rPr>
        <w:t>（试行）</w:t>
      </w:r>
      <w:r>
        <w:rPr>
          <w:rFonts w:hint="eastAsia" w:ascii="仿宋_GB2312" w:hAnsi="仿宋_GB2312" w:eastAsia="仿宋_GB2312" w:cs="仿宋_GB2312"/>
          <w:sz w:val="27"/>
          <w:szCs w:val="27"/>
        </w:rPr>
        <w:t>》文件精神，制定本实施细则。</w:t>
      </w:r>
    </w:p>
    <w:p>
      <w:pPr>
        <w:pStyle w:val="2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sz w:val="27"/>
          <w:szCs w:val="27"/>
        </w:rPr>
        <w:t>第二条</w:t>
      </w:r>
      <w:r>
        <w:rPr>
          <w:rFonts w:hint="eastAsia" w:ascii="仿宋_GB2312" w:hAnsi="仿宋_GB2312" w:eastAsia="仿宋_GB2312" w:cs="仿宋_GB2312"/>
          <w:b/>
          <w:bCs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27"/>
          <w:szCs w:val="27"/>
        </w:rPr>
        <w:t>本细则所称人才是指成功申领“人才绿卡”的人员。</w:t>
      </w:r>
    </w:p>
    <w:p>
      <w:pPr>
        <w:pStyle w:val="2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sz w:val="27"/>
          <w:szCs w:val="27"/>
        </w:rPr>
        <w:t>第三条</w:t>
      </w:r>
      <w:r>
        <w:rPr>
          <w:rFonts w:hint="eastAsia" w:ascii="仿宋_GB2312" w:hAnsi="仿宋_GB2312" w:eastAsia="仿宋_GB2312" w:cs="仿宋_GB2312"/>
          <w:b/>
          <w:bCs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7"/>
          <w:szCs w:val="27"/>
        </w:rPr>
        <w:t>引进人才在办理落户时享受“一卡通”人才服务绿色通道。</w:t>
      </w:r>
    </w:p>
    <w:p>
      <w:pPr>
        <w:pStyle w:val="2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sz w:val="27"/>
          <w:szCs w:val="27"/>
        </w:rPr>
        <w:t>（一）引进人才落户，不受年龄和市域范围工作地的限制，市区有合法固定住所的，可以在其合法固定住所登记户口；本人市区无合法固定住所的，可以经单位同意申请迁入单位集体户口或迁往同意被投靠、有家庭户口的亲友处；单位在市区无集体户的，可申请迁入“人才专户”（设立在市人才服务局）。</w:t>
      </w:r>
    </w:p>
    <w:p>
      <w:pPr>
        <w:pStyle w:val="2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sz w:val="27"/>
          <w:szCs w:val="27"/>
        </w:rPr>
        <w:t>（二）引进人才本人已在咸落户的，其父母、</w:t>
      </w:r>
      <w:r>
        <w:rPr>
          <w:rFonts w:hint="eastAsia" w:ascii="仿宋_GB2312" w:hAnsi="仿宋_GB2312" w:eastAsia="仿宋_GB2312" w:cs="仿宋_GB2312"/>
          <w:spacing w:val="6"/>
          <w:sz w:val="27"/>
          <w:szCs w:val="27"/>
        </w:rPr>
        <w:t>配偶及子女、兄弟、姐妹不受年龄、婚龄及住房条件限制，可申请投靠迁入，随人才本人在咸落户。</w:t>
      </w:r>
    </w:p>
    <w:p>
      <w:pPr>
        <w:pStyle w:val="2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sz w:val="27"/>
          <w:szCs w:val="27"/>
        </w:rPr>
        <w:t>第四条</w:t>
      </w:r>
      <w:r>
        <w:rPr>
          <w:rFonts w:hint="eastAsia" w:ascii="仿宋_GB2312" w:hAnsi="仿宋_GB2312" w:eastAsia="仿宋_GB2312" w:cs="仿宋_GB2312"/>
          <w:b/>
          <w:bCs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7"/>
          <w:szCs w:val="27"/>
        </w:rPr>
        <w:t>外籍引进人才可凭“人才绿卡”直接办理外国人就业证或外国专家证，凭</w:t>
      </w:r>
      <w:r>
        <w:rPr>
          <w:rFonts w:hint="eastAsia" w:ascii="仿宋_GB2312" w:hAnsi="仿宋_GB2312" w:eastAsia="仿宋_GB2312" w:cs="仿宋_GB2312"/>
          <w:sz w:val="27"/>
          <w:szCs w:val="27"/>
          <w:lang w:eastAsia="zh-CN"/>
        </w:rPr>
        <w:t>“人才绿卡”、就业证或外国专家证及</w:t>
      </w:r>
      <w:r>
        <w:rPr>
          <w:rFonts w:hint="eastAsia" w:ascii="仿宋_GB2312" w:hAnsi="仿宋_GB2312" w:eastAsia="仿宋_GB2312" w:cs="仿宋_GB2312"/>
          <w:sz w:val="27"/>
          <w:szCs w:val="27"/>
        </w:rPr>
        <w:t>用人单位公函等换发入境有效期不超过5年、停留期限不超过180天的零次、一次、二次或者多次R字签证。</w:t>
      </w:r>
    </w:p>
    <w:p>
      <w:pPr>
        <w:pStyle w:val="2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sz w:val="27"/>
          <w:szCs w:val="27"/>
        </w:rPr>
        <w:t>第五条</w:t>
      </w:r>
      <w:r>
        <w:rPr>
          <w:rFonts w:hint="eastAsia" w:ascii="仿宋_GB2312" w:hAnsi="仿宋_GB2312" w:eastAsia="仿宋_GB2312" w:cs="仿宋_GB2312"/>
          <w:b/>
          <w:bCs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3"/>
          <w:sz w:val="27"/>
          <w:szCs w:val="27"/>
        </w:rPr>
        <w:t>引进人才可按照国家和本市有关规定，在本市申请办理普通护照、往来港澳通行证、往来台湾通行证及各类签证。</w:t>
      </w:r>
    </w:p>
    <w:p>
      <w:pPr>
        <w:pStyle w:val="2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sz w:val="27"/>
          <w:szCs w:val="27"/>
        </w:rPr>
        <w:t>第六条</w:t>
      </w:r>
      <w:r>
        <w:rPr>
          <w:rFonts w:hint="eastAsia" w:ascii="仿宋_GB2312" w:hAnsi="仿宋_GB2312" w:eastAsia="仿宋_GB2312" w:cs="仿宋_GB2312"/>
          <w:b/>
          <w:bCs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7"/>
          <w:szCs w:val="27"/>
        </w:rPr>
        <w:t>人才落户审批权限和审批流程。</w:t>
      </w:r>
    </w:p>
    <w:p>
      <w:pPr>
        <w:pStyle w:val="2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sz w:val="27"/>
          <w:szCs w:val="27"/>
        </w:rPr>
        <w:t>（一）审批权限。人才落户由落户地县级公安机关直接负责审批。落户温泉城区的由咸宁市温泉公安分局负责审批；落户各县（市、区）的由各所属区、县（市）公安机关负责审批。人才家属随迁和投靠也按此权限办理。其中，属于华侨身份的，提请相应侨务部门按华侨回国定居程序办理。</w:t>
      </w:r>
    </w:p>
    <w:p>
      <w:pPr>
        <w:pStyle w:val="2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sz w:val="27"/>
          <w:szCs w:val="27"/>
        </w:rPr>
        <w:t>（二）审批流程。</w:t>
      </w:r>
      <w:r>
        <w:rPr>
          <w:rFonts w:hint="eastAsia" w:ascii="仿宋_GB2312" w:hAnsi="仿宋_GB2312" w:eastAsia="仿宋_GB2312" w:cs="仿宋_GB2312"/>
          <w:sz w:val="27"/>
          <w:szCs w:val="27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27"/>
          <w:szCs w:val="27"/>
        </w:rPr>
        <w:t>申请人</w:t>
      </w:r>
      <w:r>
        <w:rPr>
          <w:rFonts w:hint="eastAsia" w:ascii="仿宋_GB2312" w:hAnsi="仿宋_GB2312" w:eastAsia="仿宋_GB2312" w:cs="仿宋_GB2312"/>
          <w:sz w:val="27"/>
          <w:szCs w:val="27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27"/>
          <w:szCs w:val="27"/>
        </w:rPr>
        <w:t>审批权限分别</w:t>
      </w:r>
      <w:r>
        <w:rPr>
          <w:rFonts w:hint="eastAsia" w:ascii="仿宋_GB2312" w:hAnsi="仿宋_GB2312" w:eastAsia="仿宋_GB2312" w:cs="仿宋_GB2312"/>
          <w:sz w:val="27"/>
          <w:szCs w:val="27"/>
          <w:lang w:eastAsia="zh-CN"/>
        </w:rPr>
        <w:t>到</w:t>
      </w:r>
      <w:r>
        <w:rPr>
          <w:rFonts w:hint="eastAsia" w:ascii="仿宋_GB2312" w:hAnsi="仿宋_GB2312" w:eastAsia="仿宋_GB2312" w:cs="仿宋_GB2312"/>
          <w:sz w:val="27"/>
          <w:szCs w:val="27"/>
        </w:rPr>
        <w:t>相应公安机关户籍管理部门审批。公安机关户籍管理部门根据本细则规定，对照相应政策条件完成审核，并作出批准或不批准的决定。作出批准决定的，同时签发《户口准迁证》。</w:t>
      </w:r>
    </w:p>
    <w:p>
      <w:pPr>
        <w:pStyle w:val="2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sz w:val="27"/>
          <w:szCs w:val="27"/>
        </w:rPr>
        <w:t>第七条</w:t>
      </w:r>
      <w:r>
        <w:rPr>
          <w:rFonts w:hint="eastAsia" w:ascii="仿宋_GB2312" w:hAnsi="仿宋_GB2312" w:eastAsia="仿宋_GB2312" w:cs="仿宋_GB2312"/>
          <w:b/>
          <w:bCs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7"/>
          <w:szCs w:val="27"/>
        </w:rPr>
        <w:t>人才落户所需材料</w:t>
      </w:r>
      <w:r>
        <w:rPr>
          <w:rFonts w:hint="eastAsia" w:ascii="仿宋_GB2312" w:hAnsi="仿宋_GB2312" w:eastAsia="仿宋_GB2312" w:cs="仿宋_GB2312"/>
          <w:sz w:val="27"/>
          <w:szCs w:val="27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sz w:val="27"/>
          <w:szCs w:val="27"/>
        </w:rPr>
        <w:t>（一）人才落户申请书</w:t>
      </w:r>
      <w:r>
        <w:rPr>
          <w:rFonts w:hint="eastAsia" w:ascii="仿宋_GB2312" w:hAnsi="仿宋_GB2312" w:eastAsia="仿宋_GB2312" w:cs="仿宋_GB2312"/>
          <w:sz w:val="27"/>
          <w:szCs w:val="27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sz w:val="27"/>
          <w:szCs w:val="27"/>
        </w:rPr>
        <w:t>（二）“人才绿卡”原件</w:t>
      </w:r>
      <w:r>
        <w:rPr>
          <w:rFonts w:hint="eastAsia" w:ascii="仿宋_GB2312" w:hAnsi="仿宋_GB2312" w:eastAsia="仿宋_GB2312" w:cs="仿宋_GB2312"/>
          <w:sz w:val="27"/>
          <w:szCs w:val="27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sz w:val="27"/>
          <w:szCs w:val="27"/>
        </w:rPr>
        <w:t>（三）本人居民身份证、户口簿或户籍证明</w:t>
      </w:r>
      <w:r>
        <w:rPr>
          <w:rFonts w:hint="eastAsia" w:ascii="仿宋_GB2312" w:hAnsi="仿宋_GB2312" w:eastAsia="仿宋_GB2312" w:cs="仿宋_GB2312"/>
          <w:sz w:val="27"/>
          <w:szCs w:val="27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sz w:val="27"/>
          <w:szCs w:val="27"/>
        </w:rPr>
        <w:t>（四）申请迁入合法固定住所的，提供房屋产权证或房屋交易协议书</w:t>
      </w:r>
      <w:r>
        <w:rPr>
          <w:rFonts w:hint="eastAsia" w:ascii="仿宋_GB2312" w:hAnsi="仿宋_GB2312" w:eastAsia="仿宋_GB2312" w:cs="仿宋_GB2312"/>
          <w:sz w:val="27"/>
          <w:szCs w:val="27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sz w:val="27"/>
          <w:szCs w:val="27"/>
        </w:rPr>
        <w:t>（五）申请迁入单位集体户的，单位同意落户证明；迁入亲友家挂靠的，提供亲友同意落户证明及亲友户口簿</w:t>
      </w:r>
      <w:r>
        <w:rPr>
          <w:rFonts w:hint="eastAsia" w:ascii="仿宋_GB2312" w:hAnsi="仿宋_GB2312" w:eastAsia="仿宋_GB2312" w:cs="仿宋_GB2312"/>
          <w:sz w:val="27"/>
          <w:szCs w:val="27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sz w:val="27"/>
          <w:szCs w:val="27"/>
        </w:rPr>
        <w:t>（六）</w:t>
      </w:r>
      <w:r>
        <w:rPr>
          <w:rFonts w:hint="eastAsia" w:ascii="仿宋_GB2312" w:hAnsi="仿宋_GB2312" w:eastAsia="仿宋_GB2312" w:cs="仿宋_GB2312"/>
          <w:spacing w:val="-6"/>
          <w:sz w:val="27"/>
          <w:szCs w:val="27"/>
        </w:rPr>
        <w:t>申请迁入人才专户的，需</w:t>
      </w:r>
      <w:r>
        <w:rPr>
          <w:rFonts w:hint="eastAsia" w:ascii="仿宋_GB2312" w:hAnsi="仿宋_GB2312" w:eastAsia="仿宋_GB2312" w:cs="仿宋_GB2312"/>
          <w:spacing w:val="-6"/>
          <w:sz w:val="27"/>
          <w:szCs w:val="27"/>
          <w:lang w:eastAsia="zh-CN"/>
        </w:rPr>
        <w:t>人社部门</w:t>
      </w:r>
      <w:r>
        <w:rPr>
          <w:rFonts w:hint="eastAsia" w:ascii="仿宋_GB2312" w:hAnsi="仿宋_GB2312" w:eastAsia="仿宋_GB2312" w:cs="仿宋_GB2312"/>
          <w:spacing w:val="-6"/>
          <w:sz w:val="27"/>
          <w:szCs w:val="27"/>
        </w:rPr>
        <w:t>出具同意入户证明。</w:t>
      </w:r>
    </w:p>
    <w:p>
      <w:pPr>
        <w:pStyle w:val="2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sz w:val="27"/>
          <w:szCs w:val="27"/>
        </w:rPr>
        <w:t>第八条</w:t>
      </w:r>
      <w:r>
        <w:rPr>
          <w:rFonts w:hint="eastAsia" w:ascii="仿宋_GB2312" w:hAnsi="仿宋_GB2312" w:eastAsia="仿宋_GB2312" w:cs="仿宋_GB2312"/>
          <w:b/>
          <w:bCs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7"/>
          <w:szCs w:val="27"/>
        </w:rPr>
        <w:t>家属投靠或随迁所需材料</w:t>
      </w:r>
      <w:r>
        <w:rPr>
          <w:rFonts w:hint="eastAsia" w:ascii="仿宋_GB2312" w:hAnsi="仿宋_GB2312" w:eastAsia="仿宋_GB2312" w:cs="仿宋_GB2312"/>
          <w:sz w:val="27"/>
          <w:szCs w:val="27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sz w:val="27"/>
          <w:szCs w:val="27"/>
        </w:rPr>
        <w:t>（一）被投靠或投靠人员申请书</w:t>
      </w:r>
      <w:r>
        <w:rPr>
          <w:rFonts w:hint="eastAsia" w:ascii="仿宋_GB2312" w:hAnsi="仿宋_GB2312" w:eastAsia="仿宋_GB2312" w:cs="仿宋_GB2312"/>
          <w:sz w:val="27"/>
          <w:szCs w:val="27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sz w:val="27"/>
          <w:szCs w:val="27"/>
        </w:rPr>
        <w:t>（二）投靠或随迁人员居民身份证、户口簿</w:t>
      </w:r>
      <w:r>
        <w:rPr>
          <w:rFonts w:hint="eastAsia" w:ascii="仿宋_GB2312" w:hAnsi="仿宋_GB2312" w:eastAsia="仿宋_GB2312" w:cs="仿宋_GB2312"/>
          <w:sz w:val="27"/>
          <w:szCs w:val="27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sz w:val="27"/>
          <w:szCs w:val="27"/>
        </w:rPr>
        <w:t>（三）被投靠人“人才绿卡”原件、身份证、户口本</w:t>
      </w:r>
      <w:r>
        <w:rPr>
          <w:rFonts w:hint="eastAsia" w:ascii="仿宋_GB2312" w:hAnsi="仿宋_GB2312" w:eastAsia="仿宋_GB2312" w:cs="仿宋_GB2312"/>
          <w:sz w:val="27"/>
          <w:szCs w:val="27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sz w:val="27"/>
          <w:szCs w:val="27"/>
        </w:rPr>
        <w:t>第九条</w:t>
      </w:r>
      <w:r>
        <w:rPr>
          <w:rFonts w:hint="eastAsia" w:ascii="仿宋_GB2312" w:hAnsi="仿宋_GB2312" w:eastAsia="仿宋_GB2312" w:cs="仿宋_GB2312"/>
          <w:b/>
          <w:bCs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7"/>
          <w:szCs w:val="27"/>
        </w:rPr>
        <w:t>本细则由市公安局负责解释</w:t>
      </w:r>
      <w:r>
        <w:rPr>
          <w:rFonts w:hint="eastAsia" w:ascii="仿宋_GB2312" w:hAnsi="仿宋_GB2312" w:eastAsia="仿宋_GB2312" w:cs="仿宋_GB2312"/>
          <w:sz w:val="27"/>
          <w:szCs w:val="27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leftChars="0" w:right="0" w:rightChars="0" w:firstLine="5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7"/>
          <w:szCs w:val="27"/>
        </w:rPr>
      </w:pPr>
      <w:r>
        <w:rPr>
          <w:rFonts w:hint="eastAsia" w:ascii="仿宋_GB2312" w:hAnsi="仿宋_GB2312" w:eastAsia="仿宋_GB2312" w:cs="仿宋_GB2312"/>
          <w:b/>
          <w:bCs/>
          <w:sz w:val="27"/>
          <w:szCs w:val="27"/>
        </w:rPr>
        <w:t>第十条</w:t>
      </w:r>
      <w:r>
        <w:rPr>
          <w:rFonts w:hint="eastAsia" w:ascii="仿宋_GB2312" w:hAnsi="仿宋_GB2312" w:eastAsia="仿宋_GB2312" w:cs="仿宋_GB2312"/>
          <w:b/>
          <w:bCs/>
          <w:sz w:val="27"/>
          <w:szCs w:val="27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7"/>
          <w:szCs w:val="27"/>
        </w:rPr>
        <w:t>本细则自发布之日起施行</w:t>
      </w:r>
      <w:r>
        <w:rPr>
          <w:rFonts w:hint="eastAsia" w:ascii="仿宋_GB2312" w:hAnsi="仿宋_GB2312" w:eastAsia="仿宋_GB2312" w:cs="仿宋_GB2312"/>
          <w:sz w:val="27"/>
          <w:szCs w:val="27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B62E4"/>
    <w:rsid w:val="116B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2021-03-23T08:16:00Z</dcterms:created>
  <dc:creator>上官浩</dc:creator>
  <cp:lastModifiedBy>上官浩</cp:lastModifiedBy>
  <dcterms:modified xsi:type="dcterms:W3CDTF">2021-03-23T08:17:11Z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